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4" w:rsidRPr="007B0111" w:rsidRDefault="00777C74" w:rsidP="007B0111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7B0111" w:rsidRPr="007B0111" w:rsidTr="007B01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0111" w:rsidRPr="007B0111" w:rsidRDefault="007B0111" w:rsidP="007B0111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  <w:t xml:space="preserve">ماده </w:t>
            </w:r>
            <w:r w:rsidRPr="007B0111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</w:p>
        </w:tc>
      </w:tr>
      <w:tr w:rsidR="007B0111" w:rsidRPr="007B0111" w:rsidTr="007B01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>مالکین اراضی واملاک واقع در محدوده خدماتی باید قبل از ساخت وساز از شهرداریها پروانه ساختمان بگیرند و شهرداری موظف است از عملیات های ساختمانی بدون پروانه یا خلاف پروانه بوسیله ماموران خود در زمین محصور یا غیر محصور جلوگیری کنند.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>تبصره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۱: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چنانچه از لحاظ اصول فنی و شهر سازی یا بهداشتی تخریب ضرورت داشته باشد یا بدون پروانه باشد شهرداری می بایست موضوع را در کمیسیون مرکب از نماینده وزارت کشور ، نماینده دادگستری و یکی از اعضای شورای شهر مطرح و کمیسیون پس از وصول به ذینفع اعلام میکند که ظرف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روز توضیحات خودرا کتبا ارایه دهد ، پس از مدت فوق کمیسیون پرونده را در جلسه با حضور نماینده شهرداری بدون حق رای مطرح می نمایدو چنانچه رای به تخریب صادر گردد (قسمتی از بنا یا کل آن ) مهلت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ماهه ارایه میشود و شهرداری موظف است رای را به مالک ابلاغ وچنانچه مالک در مدت تایین شده اقدام ننماید شهرداری راسا اقدام نموده و هزینه آن را طبق مقررات آیین نامه اجرای وصول عوارض از مالک دریافت خواهد نمود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۲ :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در صورتی که اضافات بر خلاف مفاد پروانه ساختمانی در قسمت مسکونی باشد و تخریب آن ضرورت نداشته باشد رای به جریمه از یک دوم ارزش معاملاتی تا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۳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برابر برای هر متر مربع صادر می گردد و چنانچه ذینفع جریمه را پرداخت نکند شهرداری مکلف است پرنده را به کمیسیون ارجاع و تقاضای تخریب کند و کمیسیون نیز رای مذکور را صادر نماید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>تبصره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۳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اضافات تجاری خلاف مفاد پروانه ساختمانی از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برابر تا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۴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برابر ارزش معاملاتی به ازای هر متر مربع رای جریمه صادر می گردد و چنانچه مالک از پرداخت جریمه خودداری نماید طبق بند آخر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عمل می شود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۴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در خصوص بنای بدون اخذ مجوز از شهرداری در صورتی که اصول فنی شهر سازی و بهداشتی رعایت شده باشد در خصوص مسکونی معادل ارزش معاملاتی ساختمان و در خصوص تجاری معادل ارزش سرقفلی ساختمان در صورتی که ساختمان ارزش دریافت سرقفلی را داشته باشد هر کدام که مبلغ ان بیشتر است را از ذینفع دریافت نماید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۵</w:t>
            </w:r>
            <w:r w:rsidRPr="007B0111">
              <w:rPr>
                <w:rFonts w:ascii="Tahoma" w:eastAsia="Times New Roman" w:hAnsi="Tahoma" w:cs="Tahoma"/>
                <w:b/>
                <w:bCs/>
                <w:color w:val="2F4F4F"/>
                <w:sz w:val="28"/>
                <w:szCs w:val="28"/>
                <w:rtl/>
                <w:lang w:bidi="fa-IR"/>
              </w:rPr>
              <w:t> 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در خصوص عدم احداث پارکینگ یا غیر قابل استفاده بودن آن و عدم امکان اصلاح ان کمیسیون می تواند از یک برابر تا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برابر ارزش معاملاتی برای هر متر مربع (به متراژ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۲۵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متر) جریمه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lastRenderedPageBreak/>
              <w:t>نماید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۶ :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مالکین نباید تجاوز به معبر عمومی نمایید و شهرداری مکلف است اگر اینچنین اتفاق افتاد از ادامه کار جلوگیری و پرونده را به کمیسیون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ارجاع نماید . در خصوص عدم استحکام بنا عدم رعایت اصول فنی بهداشتی و شهرسازی در ساختمان در صلاحیت کمیسیون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>است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>تبصره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۷ :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مهندسین ناظر مکلف به نظارت در ساخت و ساز هستند . هر گاه مهندس ناظر تخلف نماید(تبصره یک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 xml:space="preserve">۱۰۰)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>شهرداری مکلف است موضوع را به نظام معماری و ساختمان جهت طرح در شورای انتظامی معرفی نماید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۸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دفاتر اسناد رسمی می بایست گواهی پایان کار یا عدم خلاف برای ساختمانهای ناتمام را ملاحضه و در سند قید نمایند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 xml:space="preserve">تبصره 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۹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ساختمانهایی که پروانه ساختمانی آنها قبل از تاریخ تصویب نقشه جامع شهر صادر شده است از شمول تبصره یک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معاف می باشند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>تبصره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۱۰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در خصوص ارا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کمیسیون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هر گاه شهرداری یا مالک یا قائم مقام او از تاریخ ابلاغ ظرف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روز نسبت به ان رای اعتراض کند مرجع رسیدگی به ان کمیسیون ماده 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  <w:lang w:bidi="fa-IR"/>
              </w:rPr>
              <w:t>۱۰۰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دیگر خواهد بود که اعضای ان غیر از افراد قبلی می باشد و رای این کمیسیون قطعیست .</w:t>
            </w:r>
          </w:p>
          <w:p w:rsidR="007B0111" w:rsidRPr="007B0111" w:rsidRDefault="007B0111" w:rsidP="007B011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</w:rPr>
            </w:pP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</w:rPr>
              <w:t>تبصره</w:t>
            </w:r>
            <w:r w:rsidRPr="007B0111">
              <w:rPr>
                <w:rFonts w:ascii="Tahoma" w:eastAsia="Times New Roman" w:hAnsi="Tahoma" w:cs="B Mitra"/>
                <w:b/>
                <w:bCs/>
                <w:color w:val="2F4F4F"/>
                <w:sz w:val="28"/>
                <w:szCs w:val="28"/>
                <w:rtl/>
                <w:lang w:bidi="fa-IR"/>
              </w:rPr>
              <w:t>۱۱ :</w:t>
            </w:r>
            <w:r w:rsidRPr="007B0111">
              <w:rPr>
                <w:rFonts w:ascii="Tahoma" w:eastAsia="Times New Roman" w:hAnsi="Tahoma" w:cs="B Mitra"/>
                <w:b/>
                <w:bCs/>
                <w:sz w:val="28"/>
                <w:szCs w:val="28"/>
                <w:rtl/>
              </w:rPr>
              <w:t xml:space="preserve"> آئین نامه معاملاتی توسط شهرداری تهیه و مورد تصویب انجمن شهر می باشد و سالی یک بار قابل تجدید نظر است .</w:t>
            </w:r>
            <w:r w:rsidRPr="007B0111">
              <w:rPr>
                <w:rFonts w:ascii="Tahoma" w:eastAsia="Times New Roman" w:hAnsi="Tahoma" w:cs="Tahoma"/>
                <w:b/>
                <w:bCs/>
                <w:sz w:val="28"/>
                <w:szCs w:val="28"/>
                <w:rtl/>
              </w:rPr>
              <w:t> </w:t>
            </w:r>
          </w:p>
        </w:tc>
      </w:tr>
    </w:tbl>
    <w:p w:rsidR="007B0111" w:rsidRPr="007B0111" w:rsidRDefault="007B0111" w:rsidP="007B0111">
      <w:pPr>
        <w:bidi/>
        <w:rPr>
          <w:rFonts w:cs="B Mitra" w:hint="cs"/>
          <w:b/>
          <w:bCs/>
          <w:sz w:val="28"/>
          <w:szCs w:val="28"/>
          <w:lang w:bidi="fa-IR"/>
        </w:rPr>
      </w:pPr>
    </w:p>
    <w:sectPr w:rsidR="007B0111" w:rsidRPr="007B0111" w:rsidSect="00777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111"/>
    <w:rsid w:val="00777C74"/>
    <w:rsid w:val="007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7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MRT www.Win2Farsi.com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</dc:creator>
  <cp:lastModifiedBy>shahr</cp:lastModifiedBy>
  <cp:revision>1</cp:revision>
  <dcterms:created xsi:type="dcterms:W3CDTF">2016-04-30T08:11:00Z</dcterms:created>
  <dcterms:modified xsi:type="dcterms:W3CDTF">2016-04-30T08:12:00Z</dcterms:modified>
</cp:coreProperties>
</file>